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6DA1" w14:textId="2C7AAE10" w:rsidR="005E1CD6" w:rsidRDefault="005E1CD6">
      <w:r>
        <w:t xml:space="preserve">Nel mese di </w:t>
      </w:r>
      <w:r>
        <w:t>Aprile</w:t>
      </w:r>
      <w:r>
        <w:t xml:space="preserve"> 2024 Regione Lombardia non ha disposto la rilevazione dei tempi di a</w:t>
      </w:r>
      <w:r>
        <w:t>tt</w:t>
      </w:r>
      <w:r>
        <w:t>esa</w:t>
      </w:r>
    </w:p>
    <w:sectPr w:rsidR="005E1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D6"/>
    <w:rsid w:val="005E1CD6"/>
    <w:rsid w:val="0091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508F"/>
  <w15:chartTrackingRefBased/>
  <w15:docId w15:val="{5D7C0D64-0ADC-42C2-B250-DE211B6A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Aversa</dc:creator>
  <cp:keywords/>
  <dc:description/>
  <cp:lastModifiedBy>Emmanuel Aversa</cp:lastModifiedBy>
  <cp:revision>1</cp:revision>
  <dcterms:created xsi:type="dcterms:W3CDTF">2024-05-20T08:26:00Z</dcterms:created>
  <dcterms:modified xsi:type="dcterms:W3CDTF">2024-05-20T08:27:00Z</dcterms:modified>
</cp:coreProperties>
</file>